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E8" w:rsidRPr="00987CE8" w:rsidRDefault="00987CE8" w:rsidP="0098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87CE8" w:rsidRPr="00987CE8" w:rsidRDefault="00987CE8" w:rsidP="0098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87CE8" w:rsidRPr="00987CE8" w:rsidRDefault="00987CE8" w:rsidP="0098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87CE8" w:rsidRPr="00987CE8" w:rsidRDefault="00987CE8" w:rsidP="0098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987CE8" w:rsidRPr="00987CE8" w:rsidRDefault="00987CE8" w:rsidP="0098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 xml:space="preserve"> 06-2/92-18</w:t>
      </w:r>
    </w:p>
    <w:p w:rsidR="00987CE8" w:rsidRPr="00987CE8" w:rsidRDefault="00987CE8" w:rsidP="0098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maj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87CE8" w:rsidRPr="00987CE8" w:rsidRDefault="00987CE8" w:rsidP="0098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87CE8" w:rsidRPr="00987CE8" w:rsidRDefault="00987CE8" w:rsidP="0098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987CE8" w:rsidRPr="00987CE8" w:rsidRDefault="00987CE8" w:rsidP="0098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b/>
          <w:sz w:val="24"/>
          <w:szCs w:val="24"/>
        </w:rPr>
        <w:t xml:space="preserve">33.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MAJA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počela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>10,00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časova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Sednicom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predsedavao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Petar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prisustvovali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Slaviša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Bulatović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Neđo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Mihailo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Jokić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Đorđe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Komlenski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dr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Aleksandar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Martinović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Miletić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Mihajlović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Palalić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Sreto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Perić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Zoran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Despotović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 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Osim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prisustvovali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Majkić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zamenik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Biljane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Pantić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Pilja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Nataša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Vučković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zamenik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Dušana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Petrovića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Zoltan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zamenik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Balinta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Pastora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prisustvovali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Žarko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Mićin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Dušan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Pavlović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Nataša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Mićić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Katarina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Rakić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njihovi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zamenici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Sednici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prisustvavali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Branko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Stemanković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zamenik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Republičkog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javnog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tužioca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Tatjana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Lagumdžija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izborni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član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Državnog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veća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tužilaca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Tomo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Zorić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sekretar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Državnog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veća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tužilaca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Ivan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Jovičić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zamenik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predsednika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Visokog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saveta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sudstva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Branka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Tomašević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pomoćnik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sekretara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Visokog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saveta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sudstva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Verka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Atanasković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pomoćnik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direktora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Sektoru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rešavanje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sukoba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interesa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Almira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Medunjanin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Jerosimić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viši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savetnici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Dejan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Damnjanović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šef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kancelarije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direktora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Zoran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Pašalić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Marija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Podunavac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Kabinet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Zaštitnika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Rodoljub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Šabić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poverenik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informacije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javnog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značaja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podataka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ličnosti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Marinko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generalni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sekretar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Službe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poverenika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konstatovao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ispunjeni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uslovi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punovažno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odlučivanje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nakon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čega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predložio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članovi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većinom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glasova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utvrdili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sledeći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7CE8" w:rsidRPr="00987CE8" w:rsidRDefault="00987CE8" w:rsidP="00987CE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suzbijanju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kriminaliteta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ustavnosti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zakonitosti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02-832/18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30. 3. 2018.);</w:t>
      </w:r>
    </w:p>
    <w:p w:rsidR="00987CE8" w:rsidRPr="00987CE8" w:rsidRDefault="00987CE8" w:rsidP="00987CE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>Razmatranje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veća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tužilaca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02-646/18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14. 3. 2018.);</w:t>
      </w:r>
    </w:p>
    <w:p w:rsidR="00987CE8" w:rsidRPr="00987CE8" w:rsidRDefault="00987CE8" w:rsidP="00987CE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Visokog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sudstva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02-577/18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9. 3. 2018.);</w:t>
      </w:r>
    </w:p>
    <w:p w:rsidR="00987CE8" w:rsidRPr="00987CE8" w:rsidRDefault="00987CE8" w:rsidP="00987CE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Agencije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borbu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protiv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korupcije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Izveštajem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sprovođenju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Nacionalne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strategije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borbu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protiv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korupcije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Republici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period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Akcionog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njeno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sprovođenje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(07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02-829/18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30. 3. 2018.);</w:t>
      </w:r>
    </w:p>
    <w:p w:rsidR="00987CE8" w:rsidRPr="00987CE8" w:rsidRDefault="00987CE8" w:rsidP="00987CE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Redovnog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godišnjeg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Zaštitnika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građana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02-691/18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19. 3. 2018.);</w:t>
      </w:r>
    </w:p>
    <w:p w:rsidR="00987CE8" w:rsidRPr="00987CE8" w:rsidRDefault="00987CE8" w:rsidP="00987CE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sprovođenju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slobodnom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pristupu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informacijama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značaja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podataka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ličnosti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02-818/18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30. 3. 2018.)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7CE8" w:rsidRPr="00987CE8" w:rsidRDefault="00987CE8" w:rsidP="00987CE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CE8" w:rsidRPr="00987CE8" w:rsidRDefault="00987CE8" w:rsidP="00987CE8">
      <w:pPr>
        <w:tabs>
          <w:tab w:val="left" w:pos="567"/>
          <w:tab w:val="left" w:pos="851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CE8" w:rsidRPr="00987CE8" w:rsidRDefault="00987CE8" w:rsidP="00987CE8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suzbijanju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kriminaliteta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ustavnosti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zakonitosti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02-832/18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30. 3. 2018.)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Branko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Stamenković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ukratko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javnotužilački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apelaciona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najvišem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novoprimljenih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8,57%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izvršene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analize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realne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kriminalističke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potkrepljene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supstancionalnim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dokazima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voditi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nepoznatih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izvršilaca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realno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beleži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stope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kriminaliteta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7%.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uočeni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javlja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upisnik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događaja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forimiraju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prvenstveno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podnesaka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konsultacije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supstancijalne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obučenih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dovodi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opisi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događaja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često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ktivičnog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analize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dominiraju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imovinskih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delikata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prisvajanje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protivpravne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imovinske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pojavljuju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porodičnog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specijalnih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združenog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delovanja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pripadnika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centara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težnja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maksimalna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sigurnost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osobe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apsolutna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postupcu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sprovode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sankcije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izriču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odvraćajuće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potencijalne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izvršioce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delovalo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preventivno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računarskih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naročito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pogađaju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nanose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gubitke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posvećuje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dovoljno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nastavilo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akcionim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planovima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dokumentima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ciljem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pridruživanja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osavremeniti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zakonik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odgovoriti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savremenim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izazovima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borbi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kriminaliteta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uvođenju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sigurnosti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Stamenković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Mihailo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Jokić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komentar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nabavkama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istakavši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njegove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zloupotrebe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veoma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teško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dokazati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Nataša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Vučković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pojašnjenja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priznavanju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krivice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opravdana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Branko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Stamenković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praksa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detektuje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nabavkama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funkcionisanja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čitavog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dolazi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sporadičnih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proceduralnih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teškoća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pribavljanju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dokaza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pojedinačnim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konkretnim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slučajevima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najvažnija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dosledna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potpunosti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primenjivali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kolegijumu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zauzetom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priznanju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standard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razvijenim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zemljama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primenjuju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decenijama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unazad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ogroman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završavaju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Pojasnio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priznanju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krivice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zaključuju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isključivo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sudovi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okrivljenima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ulaze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okrivljenima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prihvatljive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sankcije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stanovišta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okrivljenog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sankciji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prate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sudsku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praksu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vrsta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troškove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trajanja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parničnih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pravde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Arial"/>
          <w:sz w:val="24"/>
          <w:szCs w:val="24"/>
        </w:rPr>
        <w:t>Predsedavajući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zaključio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raspravu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u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vezi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sa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ovom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tačkom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dnevnog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reda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predložio</w:t>
      </w:r>
      <w:r w:rsidRPr="00987CE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suzbijanju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kriminaliteta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zakonitosti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Pr="00987CE8">
        <w:rPr>
          <w:rFonts w:ascii="Times New Roman" w:eastAsia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suzbijanju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kriminaliteta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zakonitosti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celovito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proizlaze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počinioce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kažnjivih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preduzima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zakonitosti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987CE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DRUGA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TAČKA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veća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tužilaca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(01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: 02-646/18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14. 3. 2018.)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sr-Cyrl-CS"/>
        </w:rPr>
        <w:t>Tatjana</w:t>
      </w:r>
      <w:r w:rsidRPr="00987CE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sr-Cyrl-CS"/>
        </w:rPr>
        <w:t>Lagumdžija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istakla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Državno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veće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organ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garantuje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tužilačku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autonomiju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samostalnost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zamenika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funkcionisalo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krnjem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sastavu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obzirom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jedan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izbornih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članova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advokata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još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nije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izabran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čemu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obaveštena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Advokatska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komora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što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ipak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nije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značajno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uticalo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ostvarivanje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najznačajnijih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funkcija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Državnog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veća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Istakla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ovom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izveštajnom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periodu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bile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intenzivne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aktivnosti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odnosile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upravljanje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ljudskim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resursima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cilju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obezbeđivanja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ravnomerne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opterećenosti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tužilaštava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upravljanje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finansijskim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resursima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kako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umanjile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docnje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bilo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neophodno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osavremenjivanje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administrativne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kancelarije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bez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odobrenih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sredstava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strane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Ministarstva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finansija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ali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uz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njihovo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odobrenje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2018.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što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će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uticati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poboljšanje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kvaliteta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Ukratko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navela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statističke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podatke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odnose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rad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Državnog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veća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Posebno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istakla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aktivnosti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Državno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veće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imalo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okviru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svoje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izborne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normativne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nadležnosti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Naglasila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vodilo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računa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uspostavljanju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metodologije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ujednačavanja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broja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predmeta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zameniku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tužioca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svega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prvostepenim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tužilaštvima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osnovu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izvršene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analize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utvrđeno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optimalan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broj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predmeta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15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tužiocu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osnovnim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tužilaštvima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odnosno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pet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višim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tužilaštvima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tužilaštvima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imala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ovakav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priliv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nije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bilo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zaostataka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broju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rešenih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predmeta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Rekla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posebno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značajan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bio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izbor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tužioca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ratne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zločine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strane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Narodne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skupštine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zajedno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izborom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još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Ukazala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aktivnosti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Državno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veće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imalo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vezi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promocijom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vrednovanja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kvaliteta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zamenika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osnovu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koga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omogućava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njihovo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napredovanje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karijeri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Istakla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tokom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došlo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neznatnog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smanjenja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broja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podnetih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disciplinskih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prijava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odnosu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prethodnu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prijave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najvećem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broju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slučajeva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podnosili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građani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tri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disciplinske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prijave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podnete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strane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dok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ministarka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pravde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podnela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jednu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disciplinsku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prijavu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Rekla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Državno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veće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ostvarilo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izuzetnu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saradnju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Ministarstvom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finansija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što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imalo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poslledicu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smanje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docnje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11%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6%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krajem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godine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Istakla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DVT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odgovorilo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sve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podnete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zahteve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pristup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informacijama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značaja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lastRenderedPageBreak/>
        <w:t>Posebno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naglasila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postignut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napredak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oblasti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pravovremenog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reagovanja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slučajevima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eventualnog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političkog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uticaja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taj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način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što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Pravilnikom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predviđeno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postojanje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povremenog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radnog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tela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–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Poverenik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samostalnost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čiji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cilj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jačanje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samostalnosti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institucionalnog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integriteta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tužilaštva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zaštite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profesionalnog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integriteta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samih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nosilaca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javnotužilačke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funkcije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Rad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poverenika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javan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objavljuje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internet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stranici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Državnog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veća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Ukazala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živu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međunarodnu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aktivnost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odvijala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saradnji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Republičkim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javnim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tužiocem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značajne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aktivnosti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okviru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Poglavlja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23,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utvrđivanje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mehanizma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ravnomernu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zastupljenost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predstavnika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nacionalnih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manjina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Zaključila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fokusu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delatnosti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Državnog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veća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tužilaca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bila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izborna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funkcija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podrazumeva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izbor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kandidata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zamenike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tužioca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koja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uspešno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sprovedena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institucija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Poverenika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samostalnost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dala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pozitivne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rezultate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će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narednom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periodu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velika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pažnja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biti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posvećena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unapređenju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ljudskih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materijalnih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organizacionih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resursa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Predsedavajući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otvorio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raspravu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u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vezi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ovom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tačkom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dnevnog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reda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kako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niko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nije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javio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reč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predložio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: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da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Odbor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pravosuđe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državnu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upravu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lokalnu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samoupravu</w:t>
      </w:r>
      <w:r w:rsidRPr="00987CE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celovito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proizlaze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garantuje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samostalnost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 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većinom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glasova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usvojili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navedene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TREĆA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TAČKA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Visokog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saveta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sudstva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(01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: 02-577/18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9. 3. 2018.)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Ivan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Jovičić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je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istakao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Visoki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savet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sudstva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2017.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potpunosti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ispunio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Ustavom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propisanu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funkciju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Naglasio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tokom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2017.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izabrano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puta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nego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prethodnoj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što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posledica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nedovoljnog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članova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Visokog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saveta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sudstva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obaveze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skladu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izmenama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dopunama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sudijama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donese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Pravilnik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kriterijumima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merilima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izbor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prvi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put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biraju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sudijsku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funkciju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Ustavni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privremenu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meru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suspendovan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navedeni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pravilnik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zbog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čega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Visoki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savet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sudstva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novi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Pravilnik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kome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će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sprovesti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veliki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konkurs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izbor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300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upravo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raspisan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postupak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toku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svega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iznetog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će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nakon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izbora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prvi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put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biraju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sudijsku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funkciju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2018.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ukupapn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novoizabranih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poslednje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petogodišnjem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proseku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Predsedavajući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otvorio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tačkom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dnevnog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članova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zamenika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članova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javio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reč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predložio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CE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Visoki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sudstva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celovito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predstavilo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proizlaze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Visokog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sudstva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garantuje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nezavisnost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samostalnost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sudova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sudija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Visokog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sudstva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987C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većinom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glasova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usvojili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navedene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ČETVRTA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TAČKA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Agencije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borbu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protiv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korupcije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Izveštajem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sprovođenju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Nacionalne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strategije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borbu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protiv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korupcije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Republici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Srbiji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period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2013.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2018.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Akcionog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plana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njeno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sprovođenje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(07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: 02-829/18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30. 3. 2018.).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Verka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Atanasković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istakla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2017.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suočavala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brojnim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izazovima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uključujući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činjenicu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tokom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najvećeg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dela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prethodne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funkcionisala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čelu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vršiocem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dužnosti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direktora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funkcionisao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punom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sastavu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Naglasila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uhodani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mehanizam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stručne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službe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punom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kapacitetu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uspevaju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odgovore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izazovima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postignuti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rezultati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mnogim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bolji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nego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prethodnoj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Rekla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državni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organ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prevashodno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preventivnu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ulogu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svojim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inicira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delovanja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drugih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državnih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organa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postupci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vode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mogu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budu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primer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drugim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državnim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organima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način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vidova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Ukratko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predstavila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veliki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nadležnosti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registre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vodi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svakoj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Navela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statističke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podatke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broju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podnetih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prijava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nivoima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rezultatima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postignuti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nadležnih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pravosudnih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organa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Posebno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istakla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uspešno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sprovedene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aktivnosti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polju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prevencije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predviđenih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Akcionim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planom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Poglavlje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23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nivou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lokalne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samouprave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Ukazala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značajne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aktivnosti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međunarodnom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planu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sprovodila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okviru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procesa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pridruživanja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Republike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Srbije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Evropskoj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uniji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Izlaganje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zaključila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navođenjem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potrebno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unaprediti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materijalne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tehničke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stručne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kapacitete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procedure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rezultati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narednom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periodu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bili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još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bolji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Predsedavajući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otvorio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tačkom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dnevnog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učestvovali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Sreto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Perić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Verka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Atanasković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Sreto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Perić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postavio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pitanje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postignutim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napretkom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Republike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Srbije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period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nego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što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ustanovljena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ranije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izveštajne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periode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Verka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Atanasković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odgovoru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postavljeno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pitanje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istakla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najveći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funkcionera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pridržava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odredaba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prijavljivanjem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imovine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postupaju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konačnim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odlukama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Ukazala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donekle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povećane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probleme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funkcionera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organa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jedinica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lokalne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samouprave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sprovođenjem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borbu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protiv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korupcije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odluka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Agencija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donosi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Predsednik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tačkom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dnevnog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predložio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nekoj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narednih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sednica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utvrdi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Predlog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zaključaka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radu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Agencije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borbu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protiv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korupcije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Izveštajem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sprovođenju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Nacionalne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strategije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borbu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protiv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korupcije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Republici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Srbiji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period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2013.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2018.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Akcionog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plana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njeno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sprovođenje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uputi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skupštini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usvajanje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što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porihvatili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PETA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TAČKA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Redovnog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godišnjeg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Zaštitnika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građana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(03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: 02-691/18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19. 3. 2018.).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Zoran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Pašalić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ukratko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izneo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statističke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podatke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odnosili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predstavki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građana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kojima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postupao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Zaštitnik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građana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kao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preporuka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uputio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organima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osnovu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svojih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postupanja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Naglasio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posebna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pažnja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bila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posvećena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upućivanju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preporuka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odnosile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dobre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uprave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“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kao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preko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95%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preporuka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Zaštitnika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građana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usvojeno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strane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državnih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organa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koje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odnosile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što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može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smatrati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odličnim</w:t>
      </w:r>
      <w:r w:rsidRPr="00987CE8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rezultatom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Ukazao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činjenicu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preko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10%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svih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obraćanja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građana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odnosi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pritužbe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oblasti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pravosuđa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Zaštitnik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građana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nema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zakonska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ovlašćenja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vrši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kontrolu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sudske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grane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vlasti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Rekao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pritužbe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najčešće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nepostojanje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zakonskog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pružanje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besplatne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pravne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pomoći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izneo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mišljenje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jedan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donošenje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ovakvog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bilo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veoma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značajno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Takođe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istakao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drugu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značajnu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grupu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pritužbi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domena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pravosuđa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predstavke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privatnih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izvršitelja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izbor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zamenika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javnih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tužilaca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brzinom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efikasnošću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pravosuđa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Ukazao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obavezu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donošenja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izmena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dopuna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Zaštitniku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što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kraćem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periodu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šta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obavezuje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Akcioni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plan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Poglavlje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23,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izneo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stav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povodom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mogle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budu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ispravljene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izvesne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nedoslednosti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pogledu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nadležnosti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Zaštitniku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Skrenuo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pažnju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grupu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predstavki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ekonomska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pitanja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naročito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pogledu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imovine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Obavestio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prisutne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novoj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praksi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uveo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neposredne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obilaske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državnih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organa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institucija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terenu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obavljaju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uz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najavu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ili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bez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Istakao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prevencije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torture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lišenih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slobode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najviše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uradilo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poboljšanjem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uslova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kazneno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popravnim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zavodima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ali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još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uvek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zavodi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treba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izvršiti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značajnija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renoviranja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Posebno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ukazao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obavezu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većeg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angažovanja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poboljšavanju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uslova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smeštaja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lišenih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slobode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mentalnim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poremećajima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mladih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starijih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Izneo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stav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potrebno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unaprediti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zakoski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okvir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donošenjem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novog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savremenog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protpisa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uređena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javne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službene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upotrebe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jezika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pisma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svega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upotrebe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ćirilice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adekvatnu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upotrebu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jezika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pisma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nacionalnih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manjina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Zaštitnik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ukazao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izazove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suočavali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državni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organi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jedinica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lokalne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samouprave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pogledu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prihvata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zbriavanja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migranata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velikom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broju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Srbiji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posebno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značaj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inkluzije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dece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migranata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naš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obrazovni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sistem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čemu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značajan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doprinos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Naveo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izazove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susretao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pogledu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zbrinjavanja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interno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raseljenih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prostora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bivše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Jugoslavije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Predsedavajući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otvorio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tačkom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dnevnog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učestvovali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Mihailo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Jokić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Sreto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Perić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Zoran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Pašalić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Mihailo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Jokić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ukazao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probleme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povremeno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javnih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izvršitelja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izneo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stav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njihov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tretman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licima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različitim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porodičnim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materijalnim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situacijama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trebalo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bude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različit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više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razumevanja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Zoran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Pašalić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izrario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mišljenje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diskusija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narodnog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poslanika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Jokića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predstavlja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podršku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Zaštitniku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njegovim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nastojanjima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prošire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ovlašćenja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Istakao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600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sluččajeva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pritužbi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lično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uverio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opravdanost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individualnog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pristupa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rešavanju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svakog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konkretnog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slučaja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izvršenja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skladu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Sreto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Perić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postavio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pitanje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Predlogom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izmenama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dopunama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loklanoj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samoupravi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nalazi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skupštinskoj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proceduri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odnosilo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opravdanost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termina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uspostavljanja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institucije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lokalni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ombudsman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“,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njemu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koristi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Zoran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Pašalić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ukazao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probleme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nailazio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dosadašnjoj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praksi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mogućnost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zaštitnika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jedinicama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lokalnih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samouprava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nivou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pokrajine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primenjuju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propise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donose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jedinice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lokalne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samouprave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odnosno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pokrajinske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propise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veoma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široku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složenu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doneti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optimalno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rešenje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Takođe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termin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adekvatan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ali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moguće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dobro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prevesti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duhu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našeg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jezika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Predsednik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tačkom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dnevnog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predložio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nekoj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narednih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sednica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utvrdi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Predlog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zaključaka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Redovnog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godišnjeg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Zaštitnika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građana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uputi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skupštini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usvajanje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što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porihvatili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ŠESTA</w:t>
      </w:r>
      <w:r w:rsidRPr="00987CE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TAČKA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Razmatranje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sprovođenju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slobodnom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pristupu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informacijama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podataka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ličnosti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(03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: 02-818/18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30. 3. 2018.).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Rodoljub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Šabić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ukazao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drastične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razlike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postoje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oblasti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slobodnog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pristupa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informacijama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gde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pored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izvesnih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teškoća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zadovoljavajuće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oblasti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podata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ličnosti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gde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zabrinjavajuće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Naglasio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slobodnog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pristupa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informacijama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osnovnu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teškoću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predstavlja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veoma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veliki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broj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nepotrebnih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pritužbi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smilu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što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organi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često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ignorišu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zahteve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dobijanje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bez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problema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daju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tek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nakon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intervencije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Poverenika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Ukazao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procenat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preko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90%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izvršenih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naloga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Poverenika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strane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državnih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organa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što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može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smatrati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odličnim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rezultatom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Rekao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Poverenik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može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zadovoljan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postupanjem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Vlade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sudova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zahtevima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Poverinika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neuporedivo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veći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postupaka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pokreću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uspešno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okončavaju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građani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novinari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pitanjima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trebalo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reaguje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Vlada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situaciju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može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unapredi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Narodna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skupština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Posebno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ukazao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ozbiljan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problem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podataka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ličnosti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nepostojanju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adekvatnog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zakonskog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okvira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nedovoljno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dobrog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nacrta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naročito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vidu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zakon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trebalo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doneti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još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2013.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Izneo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stav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veoma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ograničenim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materijalnim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ljudskim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resursima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raspolaže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Poverenik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što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njegovom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mišljenju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značajnoj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meri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utiče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kvalitet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institucije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Predsedavajući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otvorio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tačkom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dnevnog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članova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zamenika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članova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javio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reč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raspravu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predložio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nekoj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narednih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sednica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utvrdi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Predlog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zaključaka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Izveštaja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sprovođenju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slobodnom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pristupu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informacijama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podataka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ličnosti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uputi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skupštini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usvajanje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što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porihvatili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SEDMA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TAČKA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Razno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Petar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Petrović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obavestio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članove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zamenike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članova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Odbora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će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im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okviru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ove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tačke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dnevnog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obratiti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poslanik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Predrag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Mijatović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potrebne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vezi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Ciljevima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održivog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razvoja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Predrag</w:t>
      </w:r>
      <w:r w:rsidRPr="00987CE8"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 w:eastAsia="sr-Cyrl-CS"/>
        </w:rPr>
        <w:t>Mijatović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ukratko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predstavio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Agendu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2030,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istakavši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reč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tome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Ujedinjene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nacije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septembru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godine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donele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navedenu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agendu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čime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prestali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važe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Milenijumski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ciljevi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zamenili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Ciljevi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održivog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razvoja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Istakao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Ciljevi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održivog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razvoja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predstavljaju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kompleks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pitanja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moraju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rešavati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2030.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zaštite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čovekove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okoline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ekonomije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oblasti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političkog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sistema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Predstavio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materijal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saradnji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UNDP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Program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Ujedinjenih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nacija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razvoj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preveden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srpski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podeljen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svim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članovima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Odbora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pravosuđe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državnu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lokalnu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samoupravu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Naglasio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Republika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Srbija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potpisala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Agendu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2030,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predsednica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Narodne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skupštine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Gojković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formirala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Fokus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grupu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13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članova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čiji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zadatak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nadzire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realizaciju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ciljeva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održivog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razvoja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unutar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naše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zemlje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Vlada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RS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formirala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Međuresornu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grupu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čiji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zadatak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koordinira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rad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ministarstava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prilokom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realizacije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ciljeva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održivog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razvoja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Istakao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17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ciljeva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održivog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razvoja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mogu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delovati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veoma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uopšteno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ali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njih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konkretizuje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169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podciljeva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te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svaka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zemlja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ima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obavezu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vrši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evaluaciju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procesa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njihove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realizacije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Posebno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istakao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obavezu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zemalja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2030.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godine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uvedu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obavezno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besplatno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osnovno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srednje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obrazovanje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čemu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naša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zemlja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mora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posveti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dužnu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pažnju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kako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ovaj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cilj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realizovan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dogledno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vreme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ilustraciju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naveo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obavezu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svake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zemlje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nastavni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program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gimnazije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kao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izborni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predmet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uvede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ciljeve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održivog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razvoja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Naglasio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Republika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Srbija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nalazi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prvih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deset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zemalja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svetu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pogledu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rezultata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koje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postiže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planu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realizacije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ciljeva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održivog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razvoja</w:t>
      </w:r>
      <w:r w:rsidRPr="00987C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Predstavio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Konferenciju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treba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bude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održana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planira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učešće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predstavnika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preko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15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zemalja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kojoj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bili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predstavljeni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rezultati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postigla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naša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zemlja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kao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analizirana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dostignuća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izazoovi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ove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oblasti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color w:val="1F497D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Izlaganje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završio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predstavljajući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cilj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16  „</w:t>
      </w:r>
      <w:r>
        <w:rPr>
          <w:rFonts w:ascii="Times New Roman" w:eastAsiaTheme="minorEastAsia" w:hAnsi="Times New Roman" w:cs="Times New Roman"/>
          <w:sz w:val="24"/>
          <w:szCs w:val="24"/>
        </w:rPr>
        <w:t>Mir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pravda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snažne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institucije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“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odnosi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Odbor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pravosuđe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državnu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upravu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lokalnu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samoupravu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završena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12,15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časova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87CE8" w:rsidRPr="00987CE8" w:rsidRDefault="00987CE8" w:rsidP="00987C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SEKRETAR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87CE8" w:rsidRPr="00987CE8" w:rsidRDefault="00987CE8" w:rsidP="00987C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Sanja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Pecelj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     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  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87CE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Petar</w:t>
      </w:r>
      <w:r w:rsidRPr="00987CE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Petrović</w:t>
      </w:r>
    </w:p>
    <w:p w:rsidR="006111E0" w:rsidRDefault="006111E0">
      <w:bookmarkStart w:id="0" w:name="_GoBack"/>
      <w:bookmarkEnd w:id="0"/>
    </w:p>
    <w:sectPr w:rsidR="006111E0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19" w:rsidRDefault="00076D19" w:rsidP="00987CE8">
      <w:pPr>
        <w:spacing w:after="0" w:line="240" w:lineRule="auto"/>
      </w:pPr>
      <w:r>
        <w:separator/>
      </w:r>
    </w:p>
  </w:endnote>
  <w:endnote w:type="continuationSeparator" w:id="0">
    <w:p w:rsidR="00076D19" w:rsidRDefault="00076D19" w:rsidP="0098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076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076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076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19" w:rsidRDefault="00076D19" w:rsidP="00987CE8">
      <w:pPr>
        <w:spacing w:after="0" w:line="240" w:lineRule="auto"/>
      </w:pPr>
      <w:r>
        <w:separator/>
      </w:r>
    </w:p>
  </w:footnote>
  <w:footnote w:type="continuationSeparator" w:id="0">
    <w:p w:rsidR="00076D19" w:rsidRDefault="00076D19" w:rsidP="0098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076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076D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CE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E4194" w:rsidRDefault="00076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076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D5C3EA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6B202AC6">
      <w:start w:val="1"/>
      <w:numFmt w:val="lowerLetter"/>
      <w:lvlText w:val="%2."/>
      <w:lvlJc w:val="left"/>
      <w:pPr>
        <w:ind w:left="1800" w:hanging="360"/>
      </w:pPr>
    </w:lvl>
    <w:lvl w:ilvl="2" w:tplc="52E8FA0E">
      <w:start w:val="1"/>
      <w:numFmt w:val="lowerRoman"/>
      <w:lvlText w:val="%3."/>
      <w:lvlJc w:val="right"/>
      <w:pPr>
        <w:ind w:left="2520" w:hanging="180"/>
      </w:pPr>
    </w:lvl>
    <w:lvl w:ilvl="3" w:tplc="A2563FA8">
      <w:start w:val="1"/>
      <w:numFmt w:val="decimal"/>
      <w:lvlText w:val="%4."/>
      <w:lvlJc w:val="left"/>
      <w:pPr>
        <w:ind w:left="3240" w:hanging="360"/>
      </w:pPr>
    </w:lvl>
    <w:lvl w:ilvl="4" w:tplc="6A06DA5C">
      <w:start w:val="1"/>
      <w:numFmt w:val="lowerLetter"/>
      <w:lvlText w:val="%5."/>
      <w:lvlJc w:val="left"/>
      <w:pPr>
        <w:ind w:left="3960" w:hanging="360"/>
      </w:pPr>
    </w:lvl>
    <w:lvl w:ilvl="5" w:tplc="8ACE7FD8">
      <w:start w:val="1"/>
      <w:numFmt w:val="lowerRoman"/>
      <w:lvlText w:val="%6."/>
      <w:lvlJc w:val="right"/>
      <w:pPr>
        <w:ind w:left="4680" w:hanging="180"/>
      </w:pPr>
    </w:lvl>
    <w:lvl w:ilvl="6" w:tplc="1194BEE0">
      <w:start w:val="1"/>
      <w:numFmt w:val="decimal"/>
      <w:lvlText w:val="%7."/>
      <w:lvlJc w:val="left"/>
      <w:pPr>
        <w:ind w:left="5400" w:hanging="360"/>
      </w:pPr>
    </w:lvl>
    <w:lvl w:ilvl="7" w:tplc="1B06FD12">
      <w:start w:val="1"/>
      <w:numFmt w:val="lowerLetter"/>
      <w:lvlText w:val="%8."/>
      <w:lvlJc w:val="left"/>
      <w:pPr>
        <w:ind w:left="6120" w:hanging="360"/>
      </w:pPr>
    </w:lvl>
    <w:lvl w:ilvl="8" w:tplc="39D4E41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AF"/>
    <w:rsid w:val="00076D19"/>
    <w:rsid w:val="006111E0"/>
    <w:rsid w:val="008165AF"/>
    <w:rsid w:val="009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87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C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7C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87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C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7C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4240</Words>
  <Characters>24170</Characters>
  <Application>Microsoft Office Word</Application>
  <DocSecurity>0</DocSecurity>
  <Lines>201</Lines>
  <Paragraphs>56</Paragraphs>
  <ScaleCrop>false</ScaleCrop>
  <Company/>
  <LinksUpToDate>false</LinksUpToDate>
  <CharactersWithSpaces>28354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2018-07-23T09:59:00Z</dcterms:created>
  <dcterms:modified xsi:type="dcterms:W3CDTF">2018-07-23T09:59:00Z</dcterms:modified>
</cp:coreProperties>
</file>